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AC5" w:rsidRDefault="005D2AC5" w:rsidP="005D2AC5">
      <w:pPr>
        <w:jc w:val="center"/>
      </w:pPr>
    </w:p>
    <w:p w:rsidR="005D2AC5" w:rsidRDefault="005D2AC5" w:rsidP="005D2AC5">
      <w:pPr>
        <w:jc w:val="center"/>
      </w:pPr>
    </w:p>
    <w:p w:rsidR="005D2AC5" w:rsidRDefault="005D2AC5" w:rsidP="005D2AC5">
      <w:pPr>
        <w:jc w:val="center"/>
      </w:pPr>
    </w:p>
    <w:p w:rsidR="005D2AC5" w:rsidRDefault="005D2AC5" w:rsidP="005D2AC5">
      <w:pPr>
        <w:jc w:val="center"/>
      </w:pPr>
    </w:p>
    <w:p w:rsidR="005D2AC5" w:rsidRDefault="005D2AC5" w:rsidP="005D2AC5">
      <w:pPr>
        <w:jc w:val="center"/>
      </w:pPr>
    </w:p>
    <w:p w:rsidR="005D2AC5" w:rsidRDefault="005D2AC5" w:rsidP="005D2AC5">
      <w:pPr>
        <w:jc w:val="center"/>
      </w:pPr>
    </w:p>
    <w:p w:rsidR="005D2AC5" w:rsidRDefault="005D2AC5" w:rsidP="005D2AC5">
      <w:pPr>
        <w:jc w:val="center"/>
      </w:pPr>
    </w:p>
    <w:p w:rsidR="005D2AC5" w:rsidRDefault="005D2AC5" w:rsidP="005D2AC5">
      <w:pPr>
        <w:jc w:val="center"/>
      </w:pPr>
    </w:p>
    <w:p w:rsidR="005D2AC5" w:rsidRDefault="005D2AC5" w:rsidP="005D2AC5">
      <w:pPr>
        <w:jc w:val="center"/>
      </w:pPr>
    </w:p>
    <w:p w:rsidR="005D2AC5" w:rsidRDefault="005D2AC5" w:rsidP="005D2AC5">
      <w:pPr>
        <w:jc w:val="center"/>
      </w:pPr>
    </w:p>
    <w:p w:rsidR="005D2AC5" w:rsidRDefault="005D2AC5" w:rsidP="005D2AC5">
      <w:pPr>
        <w:jc w:val="center"/>
      </w:pPr>
    </w:p>
    <w:p w:rsidR="00F25E93" w:rsidRDefault="008761AD" w:rsidP="005D2AC5">
      <w:pPr>
        <w:jc w:val="center"/>
      </w:pPr>
      <w:r>
        <w:t>Ethical and Legal Health Issues in Healthcare: Altercation with Patients</w:t>
      </w:r>
    </w:p>
    <w:p w:rsidR="005D2AC5" w:rsidRDefault="008761AD" w:rsidP="005D2AC5">
      <w:pPr>
        <w:jc w:val="center"/>
      </w:pPr>
      <w:r>
        <w:t>Student’s Name</w:t>
      </w:r>
    </w:p>
    <w:p w:rsidR="005D2AC5" w:rsidRDefault="008761AD" w:rsidP="005D2AC5">
      <w:pPr>
        <w:jc w:val="center"/>
      </w:pPr>
      <w:r>
        <w:t>Institutional Affiliation</w:t>
      </w:r>
    </w:p>
    <w:p w:rsidR="005D2AC5" w:rsidRDefault="005D2AC5"/>
    <w:p w:rsidR="005D2AC5" w:rsidRDefault="005D2AC5"/>
    <w:p w:rsidR="005D2AC5" w:rsidRDefault="005D2AC5"/>
    <w:p w:rsidR="005D2AC5" w:rsidRDefault="005D2AC5"/>
    <w:p w:rsidR="005D2AC5" w:rsidRDefault="005D2AC5"/>
    <w:p w:rsidR="005D2AC5" w:rsidRDefault="005D2AC5"/>
    <w:p w:rsidR="005D2AC5" w:rsidRDefault="005D2AC5"/>
    <w:p w:rsidR="005D2AC5" w:rsidRDefault="005D2AC5"/>
    <w:p w:rsidR="005D2AC5" w:rsidRDefault="005D2AC5"/>
    <w:p w:rsidR="005D2AC5" w:rsidRDefault="008761AD" w:rsidP="00610C88">
      <w:pPr>
        <w:jc w:val="center"/>
      </w:pPr>
      <w:r>
        <w:lastRenderedPageBreak/>
        <w:t>Ethical and Legal Health Issues in Healthcare</w:t>
      </w:r>
    </w:p>
    <w:p w:rsidR="00E429E0" w:rsidRPr="00E429E0" w:rsidRDefault="00E429E0" w:rsidP="00D43092">
      <w:pPr>
        <w:ind w:firstLine="720"/>
        <w:rPr>
          <w:b/>
        </w:rPr>
      </w:pPr>
      <w:r w:rsidRPr="00E429E0">
        <w:rPr>
          <w:b/>
        </w:rPr>
        <w:t>Q1.</w:t>
      </w:r>
    </w:p>
    <w:p w:rsidR="005D2AC5" w:rsidRDefault="008761AD" w:rsidP="00D43092">
      <w:pPr>
        <w:ind w:firstLine="720"/>
      </w:pPr>
      <w:r>
        <w:t xml:space="preserve">In case discussion </w:t>
      </w:r>
      <w:bookmarkStart w:id="0" w:name="_GoBack"/>
      <w:bookmarkEnd w:id="0"/>
      <w:r>
        <w:t xml:space="preserve">1 on the altercation with patients, a patient files a lawsuit against a certified nursing assistant for injuries sustained during the officer's negligent act where the patient sustained hematomas, bruises, and skin tear. A trial court had adjudged that the assistant </w:t>
      </w:r>
      <w:r w:rsidR="00DA4C1E">
        <w:t xml:space="preserve">nursing officer and medical center were both liable to pay damages amounting to $25,000 and $40,000 respectively. However, in the court of appeal, the ruling was overturned as the judge ruled that the medical center could not be sued on vicarious liability when the assistant nursing officer had sorely acted on negligence. </w:t>
      </w:r>
      <w:r w:rsidR="00D43092">
        <w:t>The</w:t>
      </w:r>
      <w:r w:rsidR="00DA4C1E">
        <w:t xml:space="preserve"> </w:t>
      </w:r>
      <w:r w:rsidR="00D43092">
        <w:t>Supreme Court</w:t>
      </w:r>
      <w:r w:rsidR="00DA4C1E">
        <w:t xml:space="preserve"> would then rule that both tortfeasor parts (medical assistant and medical center) were liable since they exhibited negligence leading to patient’s harm.</w:t>
      </w:r>
    </w:p>
    <w:p w:rsidR="00DA4C1E" w:rsidRDefault="008761AD" w:rsidP="00D43092">
      <w:pPr>
        <w:ind w:firstLine="720"/>
      </w:pPr>
      <w:r>
        <w:t xml:space="preserve">The above case can be analyzed based on the elements of negligence to prove fault. First, the defendant (medical center and </w:t>
      </w:r>
      <w:r w:rsidR="00BF51E4">
        <w:t>certified assistant nurse) have a duty of care on the plaintiff. They both owe a duty of care to the plaintiff thus must ensure that there is no harm in the treatment. The case clearly exhibits a lack of duty of care by the defendant since the nurse's negligent actions end up causing harm and injury. The medical center is also at fault because it failed to ensure that its staff maintained legal and ethical professionalism</w:t>
      </w:r>
      <w:r w:rsidR="00D43092">
        <w:t xml:space="preserve"> (Avery, 2016)</w:t>
      </w:r>
      <w:r w:rsidR="00BF51E4">
        <w:t>.</w:t>
      </w:r>
      <w:r w:rsidR="00431D53">
        <w:t xml:space="preserve"> Additionally, the nurse failed to warn the patient of any possible and risks involved in the treatment.</w:t>
      </w:r>
      <w:r w:rsidR="00BF51E4">
        <w:t xml:space="preserve"> The</w:t>
      </w:r>
      <w:r w:rsidR="00431D53">
        <w:t xml:space="preserve"> second element is the breach of duty</w:t>
      </w:r>
      <w:r w:rsidR="00BF51E4">
        <w:t>. The defendant failed to exercise reasonable care in the treatment by simply harming the patient and causing bruises, skin tear, and hematomas.</w:t>
      </w:r>
      <w:r w:rsidR="001C29B2">
        <w:t xml:space="preserve"> The defendant should have acted responsibly and the outcome would have been different.</w:t>
      </w:r>
      <w:r w:rsidR="00BF51E4">
        <w:t xml:space="preserve"> </w:t>
      </w:r>
      <w:r w:rsidR="00431D53">
        <w:t xml:space="preserve">In addition, the medical center is at fault for breach of duty, because despite previous incidences of violence from the assistant nurse, the center still allowed him to practice without </w:t>
      </w:r>
      <w:r w:rsidR="00431D53">
        <w:lastRenderedPageBreak/>
        <w:t xml:space="preserve">close supervision, and the nurse injured a patient. </w:t>
      </w:r>
      <w:r w:rsidR="001C29B2">
        <w:t xml:space="preserve">The third aspect of proving negligence is causation. The defendant can be held liable because the patient sustained multiple injuries all of which were foreseeably out of negligence and obviously non-random. </w:t>
      </w:r>
      <w:r w:rsidR="00431D53">
        <w:t xml:space="preserve">Finally, </w:t>
      </w:r>
      <w:r w:rsidR="001C29B2">
        <w:t>damages</w:t>
      </w:r>
      <w:r w:rsidR="00431D53">
        <w:t xml:space="preserve"> are approved in this case</w:t>
      </w:r>
      <w:r w:rsidR="001C29B2">
        <w:t>. The plaintiff sustained several injuries and thus deserves compensation for the harm</w:t>
      </w:r>
      <w:r w:rsidR="00431D53">
        <w:t>, ongoing medical problem,</w:t>
      </w:r>
      <w:r w:rsidR="001C29B2">
        <w:t xml:space="preserve"> and pain caused.</w:t>
      </w:r>
    </w:p>
    <w:p w:rsidR="00E429E0" w:rsidRPr="00E429E0" w:rsidRDefault="00E429E0" w:rsidP="00D43092">
      <w:pPr>
        <w:ind w:firstLine="720"/>
        <w:rPr>
          <w:b/>
        </w:rPr>
      </w:pPr>
      <w:r w:rsidRPr="00E429E0">
        <w:rPr>
          <w:b/>
        </w:rPr>
        <w:t>Q2.</w:t>
      </w:r>
    </w:p>
    <w:p w:rsidR="00431D53" w:rsidRDefault="008761AD" w:rsidP="00D43092">
      <w:pPr>
        <w:ind w:firstLine="720"/>
      </w:pPr>
      <w:r>
        <w:t xml:space="preserve">The article on </w:t>
      </w:r>
      <w:r w:rsidR="008B2B5C">
        <w:t>genetic genealogy is of specialty in bioethics. Levenson (2018) narrates how human DNA is currently used in solving previous criminal cases. In</w:t>
      </w:r>
      <w:r w:rsidR="009F1ADC">
        <w:t xml:space="preserve"> recent cases, GEDm</w:t>
      </w:r>
      <w:r w:rsidR="008B2B5C">
        <w:t xml:space="preserve">atch is using DNA files to compare crime DNA with what people upload on the site. This technology is been used to analyze family member DNA through secret intelligent and determine a family member involved in a crime under analysis. However, such </w:t>
      </w:r>
      <w:r w:rsidR="00E95A16">
        <w:t xml:space="preserve">DNA-driven approach and </w:t>
      </w:r>
      <w:r w:rsidR="008B2B5C">
        <w:t>technology</w:t>
      </w:r>
      <w:r w:rsidR="00E95A16">
        <w:t xml:space="preserve"> use in detective work</w:t>
      </w:r>
      <w:r w:rsidR="008B2B5C">
        <w:t xml:space="preserve"> is associated with ethical dilemmas. </w:t>
      </w:r>
      <w:r w:rsidR="00E95A16">
        <w:t>F</w:t>
      </w:r>
      <w:r w:rsidR="008B2B5C">
        <w:t>irst</w:t>
      </w:r>
      <w:r w:rsidR="00E95A16">
        <w:t xml:space="preserve">, the presence of a </w:t>
      </w:r>
      <w:r w:rsidR="00D43092">
        <w:t>person’s</w:t>
      </w:r>
      <w:r w:rsidR="00E95A16">
        <w:t xml:space="preserve"> DNA at a crime does not really mean they committed the crime but only implies they were there. Therefore, people may be investigated needlessly down a genealogy tree</w:t>
      </w:r>
      <w:r w:rsidR="00D43092">
        <w:t xml:space="preserve"> (Court, 2018)</w:t>
      </w:r>
      <w:r w:rsidR="00E95A16">
        <w:t>. In addition, privacy and security questions emanate from police searches through human DNA because genetic information reveals a lot about individuals</w:t>
      </w:r>
      <w:r w:rsidR="00D43092">
        <w:t xml:space="preserve"> (Court, 2018)</w:t>
      </w:r>
      <w:r w:rsidR="00E95A16">
        <w:t xml:space="preserve">. Additionally, privacy is compromised through unreasonable search and commissioning of suspected family members. When a single individual avails his DNA </w:t>
      </w:r>
      <w:r w:rsidR="0089311B">
        <w:t>in GEDmatch</w:t>
      </w:r>
      <w:r w:rsidR="00E95A16">
        <w:t xml:space="preserve">, </w:t>
      </w:r>
      <w:r w:rsidR="0089311B">
        <w:t>it does not mean the whole family would like its genetic information publicized.</w:t>
      </w:r>
    </w:p>
    <w:p w:rsidR="00E429E0" w:rsidRPr="00E429E0" w:rsidRDefault="00E429E0" w:rsidP="00D43092">
      <w:pPr>
        <w:ind w:firstLine="720"/>
        <w:rPr>
          <w:b/>
        </w:rPr>
      </w:pPr>
      <w:r w:rsidRPr="00E429E0">
        <w:rPr>
          <w:b/>
        </w:rPr>
        <w:t>Q3.</w:t>
      </w:r>
    </w:p>
    <w:p w:rsidR="00D43092" w:rsidRDefault="008761AD" w:rsidP="00D43092">
      <w:pPr>
        <w:ind w:firstLine="720"/>
      </w:pPr>
      <w:r>
        <w:t xml:space="preserve">In Janet's case scenario, I think the negligence of malfunctioning faulty equipment is a liability of the medical center. I think Janet took the right procedure of reporting the case to her </w:t>
      </w:r>
      <w:r w:rsidR="00522402">
        <w:t>supervisor</w:t>
      </w:r>
      <w:r>
        <w:t xml:space="preserve"> </w:t>
      </w:r>
      <w:r w:rsidR="00522402">
        <w:t xml:space="preserve">who should ensure strict measures are taken in the future to avoid harm to their </w:t>
      </w:r>
      <w:r w:rsidR="00522402">
        <w:lastRenderedPageBreak/>
        <w:t>patients. Janet and her supervisor can take some liability prevention initiatives. The supervisor can develop a safety program where conscious practices and habits on equipment use are implemented on a routine basis</w:t>
      </w:r>
      <w:r w:rsidR="003E027F">
        <w:t>, f</w:t>
      </w:r>
      <w:r w:rsidR="00522402">
        <w:t xml:space="preserve">or instance, </w:t>
      </w:r>
      <w:r w:rsidR="003E027F">
        <w:t>regular inspection. Another liability strategy for the supervisor would be ensuring a good insurance for the company equipment. For Janet, she can prevent liability through a thorough inspection before use of machinery and ensure that any malfunctioning is immediately reported.</w:t>
      </w:r>
    </w:p>
    <w:p w:rsidR="00E429E0" w:rsidRPr="00E429E0" w:rsidRDefault="00E429E0" w:rsidP="00D43092">
      <w:pPr>
        <w:ind w:firstLine="720"/>
        <w:rPr>
          <w:b/>
        </w:rPr>
      </w:pPr>
      <w:r w:rsidRPr="00E429E0">
        <w:rPr>
          <w:b/>
        </w:rPr>
        <w:t>Q4.</w:t>
      </w:r>
    </w:p>
    <w:p w:rsidR="00961BC1" w:rsidRDefault="008761AD" w:rsidP="00D43092">
      <w:pPr>
        <w:ind w:firstLine="720"/>
      </w:pPr>
      <w:r>
        <w:t xml:space="preserve">One disciplinary case in recent times </w:t>
      </w:r>
      <w:r w:rsidR="007A7948">
        <w:t>was a case where a registered nurse faced termination due to alleged misconduct and breach of professionalism through having a sexual relationship with a patient</w:t>
      </w:r>
      <w:r>
        <w:t xml:space="preserve"> after an outpatient procedure</w:t>
      </w:r>
      <w:r w:rsidR="00D43092">
        <w:t xml:space="preserve"> (</w:t>
      </w:r>
      <w:r w:rsidR="00D43092" w:rsidRPr="00961BC1">
        <w:t>Kilminster-Hadley</w:t>
      </w:r>
      <w:r w:rsidR="00D43092">
        <w:t>, 2016)</w:t>
      </w:r>
      <w:r w:rsidR="007A7948">
        <w:t>. The hospital board of nursing had ruled that the nurse had not maintained professional boundaries. However, the ruling was overturned by a district court citing unreasonable ruling by the board of nurses</w:t>
      </w:r>
      <w:r>
        <w:t xml:space="preserve"> due void and vagueness of the case of termination on the nurse</w:t>
      </w:r>
      <w:r w:rsidR="007A7948">
        <w:t xml:space="preserve">. However, the board declined to appeal the case because, despite the court verdict, it had the jurisdiction to rewrite </w:t>
      </w:r>
      <w:r w:rsidR="000A61F0">
        <w:t>professional conduct in nursing practices.</w:t>
      </w:r>
    </w:p>
    <w:p w:rsidR="00961BC1" w:rsidRDefault="008761AD">
      <w:r>
        <w:br w:type="page"/>
      </w:r>
    </w:p>
    <w:p w:rsidR="00961BC1" w:rsidRDefault="008761AD" w:rsidP="00961BC1">
      <w:pPr>
        <w:jc w:val="center"/>
      </w:pPr>
      <w:r>
        <w:lastRenderedPageBreak/>
        <w:t>References</w:t>
      </w:r>
    </w:p>
    <w:p w:rsidR="00D43092" w:rsidRDefault="008761AD" w:rsidP="00D43092">
      <w:pPr>
        <w:ind w:left="720" w:hanging="720"/>
        <w:contextualSpacing/>
      </w:pPr>
      <w:r w:rsidRPr="00961BC1">
        <w:t>Avery, G. (2016). </w:t>
      </w:r>
      <w:r w:rsidRPr="00961BC1">
        <w:rPr>
          <w:i/>
        </w:rPr>
        <w:t>Law and Ethics in Nursing and Healthcare: An Introduction</w:t>
      </w:r>
      <w:r w:rsidRPr="00961BC1">
        <w:t>. SAGE.</w:t>
      </w:r>
    </w:p>
    <w:p w:rsidR="00D43092" w:rsidRPr="00D43092" w:rsidRDefault="008761AD" w:rsidP="00D43092">
      <w:pPr>
        <w:ind w:left="720" w:hanging="720"/>
        <w:contextualSpacing/>
      </w:pPr>
      <w:r w:rsidRPr="00D43092">
        <w:t>Court, D. S. (2018). Forensic genealogy: Some serious concerns. </w:t>
      </w:r>
      <w:r w:rsidRPr="00D43092">
        <w:rPr>
          <w:i/>
        </w:rPr>
        <w:t>Forensic Science International: Genetics</w:t>
      </w:r>
      <w:r w:rsidRPr="00D43092">
        <w:t>, </w:t>
      </w:r>
      <w:r w:rsidRPr="00D43092">
        <w:rPr>
          <w:i/>
        </w:rPr>
        <w:t>36</w:t>
      </w:r>
      <w:r w:rsidRPr="00D43092">
        <w:t>, 203-204.</w:t>
      </w:r>
    </w:p>
    <w:p w:rsidR="00D43092" w:rsidRDefault="008761AD" w:rsidP="00D43092">
      <w:pPr>
        <w:ind w:left="720" w:hanging="720"/>
        <w:contextualSpacing/>
      </w:pPr>
      <w:r w:rsidRPr="00961BC1">
        <w:t>Kilminster-Hadley, S. (2016). Void for Vagueness Ruling: A Case for Rewriting Regulatory Rules. </w:t>
      </w:r>
      <w:r w:rsidRPr="00961BC1">
        <w:rPr>
          <w:i/>
        </w:rPr>
        <w:t>Journal of Nursing Regulation</w:t>
      </w:r>
      <w:r w:rsidRPr="00961BC1">
        <w:t>, </w:t>
      </w:r>
      <w:r w:rsidRPr="00961BC1">
        <w:rPr>
          <w:i/>
        </w:rPr>
        <w:t>6</w:t>
      </w:r>
      <w:r w:rsidRPr="00961BC1">
        <w:t>(4), 58-61.</w:t>
      </w:r>
    </w:p>
    <w:p w:rsidR="00D43092" w:rsidRDefault="008761AD" w:rsidP="00D43092">
      <w:pPr>
        <w:ind w:left="720" w:hanging="720"/>
        <w:contextualSpacing/>
      </w:pPr>
      <w:r>
        <w:t xml:space="preserve">Levenson, E. (2018). </w:t>
      </w:r>
      <w:r w:rsidRPr="00D43092">
        <w:t>It started as a hobby. Now they're using DNA to help cops crack cold cases</w:t>
      </w:r>
      <w:r>
        <w:t xml:space="preserve">. Retrieved from </w:t>
      </w:r>
      <w:hyperlink r:id="rId7" w:history="1">
        <w:r w:rsidRPr="00A87490">
          <w:rPr>
            <w:rStyle w:val="Hyperlink"/>
          </w:rPr>
          <w:t>https://edition.cnn.com/2018/08/03/health/dna-genealogy-cold-cases-trnd/index.html</w:t>
        </w:r>
      </w:hyperlink>
    </w:p>
    <w:p w:rsidR="00D43092" w:rsidRDefault="00D43092"/>
    <w:sectPr w:rsidR="00D43092" w:rsidSect="005D2AC5">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ACC92DF" w15:done="0"/>
  <w15:commentEx w15:paraId="7CACD5FD" w15:done="0"/>
  <w15:commentEx w15:paraId="190BA641" w15:done="0"/>
  <w15:commentEx w15:paraId="74D72D17" w15:done="0"/>
  <w15:commentEx w15:paraId="730F55D7" w15:done="0"/>
  <w15:commentEx w15:paraId="60DBEB0A" w15:done="0"/>
  <w15:commentEx w15:paraId="48BA5A55" w15:done="0"/>
  <w15:commentEx w15:paraId="10DA46A7" w15:done="0"/>
  <w15:commentEx w15:paraId="24481403" w15:done="0"/>
  <w15:commentEx w15:paraId="3C96D33F" w15:done="0"/>
  <w15:commentEx w15:paraId="7CCFD193" w15:done="0"/>
  <w15:commentEx w15:paraId="6E2C6FFA" w15:done="0"/>
  <w15:commentEx w15:paraId="3C514CC6" w15:done="0"/>
  <w15:commentEx w15:paraId="3F3F4A13" w15:done="0"/>
  <w15:commentEx w15:paraId="0C698E2E" w15:done="0"/>
  <w15:commentEx w15:paraId="2328272F" w15:done="0"/>
  <w15:commentEx w15:paraId="2D4E48C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FB5" w:rsidRDefault="00647FB5">
      <w:pPr>
        <w:spacing w:line="240" w:lineRule="auto"/>
      </w:pPr>
      <w:r>
        <w:separator/>
      </w:r>
    </w:p>
  </w:endnote>
  <w:endnote w:type="continuationSeparator" w:id="0">
    <w:p w:rsidR="00647FB5" w:rsidRDefault="00647F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FB5" w:rsidRDefault="00647FB5">
      <w:pPr>
        <w:spacing w:line="240" w:lineRule="auto"/>
      </w:pPr>
      <w:r>
        <w:separator/>
      </w:r>
    </w:p>
  </w:footnote>
  <w:footnote w:type="continuationSeparator" w:id="0">
    <w:p w:rsidR="00647FB5" w:rsidRDefault="00647F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92" w:rsidRDefault="008761AD" w:rsidP="005D2AC5">
    <w:pPr>
      <w:pStyle w:val="Header"/>
      <w:spacing w:line="480" w:lineRule="auto"/>
      <w:contextualSpacing/>
      <w:jc w:val="right"/>
    </w:pPr>
    <w:r>
      <w:t>ETHICAL AND LEGAL HEALTH ISSUES IN HEALTHCARE</w:t>
    </w:r>
    <w:r>
      <w:tab/>
    </w:r>
    <w:sdt>
      <w:sdtPr>
        <w:id w:val="8627030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29E0">
          <w:rPr>
            <w:noProof/>
          </w:rPr>
          <w:t>2</w:t>
        </w:r>
        <w:r>
          <w:rPr>
            <w:noProof/>
          </w:rPr>
          <w:fldChar w:fldCharType="end"/>
        </w:r>
      </w:sdtContent>
    </w:sdt>
  </w:p>
  <w:p w:rsidR="00D43092" w:rsidRDefault="00D430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3092" w:rsidRDefault="008761AD" w:rsidP="005D2AC5">
    <w:pPr>
      <w:pStyle w:val="Header"/>
      <w:spacing w:line="480" w:lineRule="auto"/>
      <w:contextualSpacing/>
      <w:jc w:val="right"/>
    </w:pPr>
    <w:r>
      <w:t>Running head: ETHICAL AND LEGAL HEALTH ISSUES IN HEALTHCARE</w:t>
    </w:r>
    <w:r>
      <w:tab/>
    </w:r>
    <w:sdt>
      <w:sdtPr>
        <w:id w:val="17548589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29E0">
          <w:rPr>
            <w:noProof/>
          </w:rPr>
          <w:t>1</w:t>
        </w:r>
        <w:r>
          <w:rPr>
            <w:noProof/>
          </w:rPr>
          <w:fldChar w:fldCharType="end"/>
        </w:r>
      </w:sdtContent>
    </w:sdt>
  </w:p>
  <w:p w:rsidR="00D43092" w:rsidRDefault="00D430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AC5"/>
    <w:rsid w:val="000A61F0"/>
    <w:rsid w:val="001C29B2"/>
    <w:rsid w:val="0021219E"/>
    <w:rsid w:val="003E027F"/>
    <w:rsid w:val="00431D53"/>
    <w:rsid w:val="00522402"/>
    <w:rsid w:val="005D2AC5"/>
    <w:rsid w:val="00610C88"/>
    <w:rsid w:val="00647FB5"/>
    <w:rsid w:val="007A7948"/>
    <w:rsid w:val="008216BB"/>
    <w:rsid w:val="008761AD"/>
    <w:rsid w:val="0089311B"/>
    <w:rsid w:val="008A2B18"/>
    <w:rsid w:val="008B2B5C"/>
    <w:rsid w:val="00961BC1"/>
    <w:rsid w:val="009A3B4B"/>
    <w:rsid w:val="009F1ADC"/>
    <w:rsid w:val="00A71C94"/>
    <w:rsid w:val="00A87490"/>
    <w:rsid w:val="00BF51E4"/>
    <w:rsid w:val="00D43092"/>
    <w:rsid w:val="00DA4C1E"/>
    <w:rsid w:val="00E429E0"/>
    <w:rsid w:val="00E95A16"/>
    <w:rsid w:val="00F25E93"/>
    <w:rsid w:val="00F83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iCs/>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3092"/>
    <w:pPr>
      <w:keepNext/>
      <w:keepLines/>
      <w:spacing w:before="480"/>
      <w:outlineLvl w:val="0"/>
    </w:pPr>
    <w:rPr>
      <w:rFonts w:asciiTheme="majorHAnsi" w:eastAsiaTheme="majorEastAsia" w:hAnsiTheme="majorHAns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AC5"/>
    <w:pPr>
      <w:tabs>
        <w:tab w:val="center" w:pos="4680"/>
        <w:tab w:val="right" w:pos="9360"/>
      </w:tabs>
      <w:spacing w:line="240" w:lineRule="auto"/>
    </w:pPr>
  </w:style>
  <w:style w:type="character" w:customStyle="1" w:styleId="HeaderChar">
    <w:name w:val="Header Char"/>
    <w:basedOn w:val="DefaultParagraphFont"/>
    <w:link w:val="Header"/>
    <w:uiPriority w:val="99"/>
    <w:rsid w:val="005D2AC5"/>
  </w:style>
  <w:style w:type="paragraph" w:styleId="Footer">
    <w:name w:val="footer"/>
    <w:basedOn w:val="Normal"/>
    <w:link w:val="FooterChar"/>
    <w:uiPriority w:val="99"/>
    <w:unhideWhenUsed/>
    <w:rsid w:val="005D2AC5"/>
    <w:pPr>
      <w:tabs>
        <w:tab w:val="center" w:pos="4680"/>
        <w:tab w:val="right" w:pos="9360"/>
      </w:tabs>
      <w:spacing w:line="240" w:lineRule="auto"/>
    </w:pPr>
  </w:style>
  <w:style w:type="character" w:customStyle="1" w:styleId="FooterChar">
    <w:name w:val="Footer Char"/>
    <w:basedOn w:val="DefaultParagraphFont"/>
    <w:link w:val="Footer"/>
    <w:uiPriority w:val="99"/>
    <w:rsid w:val="005D2AC5"/>
  </w:style>
  <w:style w:type="character" w:customStyle="1" w:styleId="Heading1Char">
    <w:name w:val="Heading 1 Char"/>
    <w:basedOn w:val="DefaultParagraphFont"/>
    <w:link w:val="Heading1"/>
    <w:uiPriority w:val="9"/>
    <w:rsid w:val="00D43092"/>
    <w:rPr>
      <w:rFonts w:asciiTheme="majorHAnsi" w:eastAsiaTheme="majorEastAsia" w:hAnsiTheme="majorHAnsi"/>
      <w:b/>
      <w:bCs/>
      <w:color w:val="365F91" w:themeColor="accent1" w:themeShade="BF"/>
      <w:sz w:val="28"/>
      <w:szCs w:val="28"/>
    </w:rPr>
  </w:style>
  <w:style w:type="character" w:styleId="Hyperlink">
    <w:name w:val="Hyperlink"/>
    <w:basedOn w:val="DefaultParagraphFont"/>
    <w:uiPriority w:val="99"/>
    <w:unhideWhenUsed/>
    <w:rsid w:val="00D43092"/>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F8307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iCs/>
        <w:sz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3092"/>
    <w:pPr>
      <w:keepNext/>
      <w:keepLines/>
      <w:spacing w:before="480"/>
      <w:outlineLvl w:val="0"/>
    </w:pPr>
    <w:rPr>
      <w:rFonts w:asciiTheme="majorHAnsi" w:eastAsiaTheme="majorEastAsia" w:hAnsiTheme="majorHAns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AC5"/>
    <w:pPr>
      <w:tabs>
        <w:tab w:val="center" w:pos="4680"/>
        <w:tab w:val="right" w:pos="9360"/>
      </w:tabs>
      <w:spacing w:line="240" w:lineRule="auto"/>
    </w:pPr>
  </w:style>
  <w:style w:type="character" w:customStyle="1" w:styleId="HeaderChar">
    <w:name w:val="Header Char"/>
    <w:basedOn w:val="DefaultParagraphFont"/>
    <w:link w:val="Header"/>
    <w:uiPriority w:val="99"/>
    <w:rsid w:val="005D2AC5"/>
  </w:style>
  <w:style w:type="paragraph" w:styleId="Footer">
    <w:name w:val="footer"/>
    <w:basedOn w:val="Normal"/>
    <w:link w:val="FooterChar"/>
    <w:uiPriority w:val="99"/>
    <w:unhideWhenUsed/>
    <w:rsid w:val="005D2AC5"/>
    <w:pPr>
      <w:tabs>
        <w:tab w:val="center" w:pos="4680"/>
        <w:tab w:val="right" w:pos="9360"/>
      </w:tabs>
      <w:spacing w:line="240" w:lineRule="auto"/>
    </w:pPr>
  </w:style>
  <w:style w:type="character" w:customStyle="1" w:styleId="FooterChar">
    <w:name w:val="Footer Char"/>
    <w:basedOn w:val="DefaultParagraphFont"/>
    <w:link w:val="Footer"/>
    <w:uiPriority w:val="99"/>
    <w:rsid w:val="005D2AC5"/>
  </w:style>
  <w:style w:type="character" w:customStyle="1" w:styleId="Heading1Char">
    <w:name w:val="Heading 1 Char"/>
    <w:basedOn w:val="DefaultParagraphFont"/>
    <w:link w:val="Heading1"/>
    <w:uiPriority w:val="9"/>
    <w:rsid w:val="00D43092"/>
    <w:rPr>
      <w:rFonts w:asciiTheme="majorHAnsi" w:eastAsiaTheme="majorEastAsia" w:hAnsiTheme="majorHAnsi"/>
      <w:b/>
      <w:bCs/>
      <w:color w:val="365F91" w:themeColor="accent1" w:themeShade="BF"/>
      <w:sz w:val="28"/>
      <w:szCs w:val="28"/>
    </w:rPr>
  </w:style>
  <w:style w:type="character" w:styleId="Hyperlink">
    <w:name w:val="Hyperlink"/>
    <w:basedOn w:val="DefaultParagraphFont"/>
    <w:uiPriority w:val="99"/>
    <w:unhideWhenUsed/>
    <w:rsid w:val="00D43092"/>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rPr>
  </w:style>
  <w:style w:type="character" w:customStyle="1" w:styleId="CommentTextChar">
    <w:name w:val="Comment Text Char"/>
    <w:basedOn w:val="DefaultParagraphFont"/>
    <w:link w:val="CommentText"/>
    <w:uiPriority w:val="99"/>
    <w:semiHidden/>
    <w:rPr>
      <w:sz w:val="20"/>
    </w:rPr>
  </w:style>
  <w:style w:type="paragraph" w:styleId="BalloonText">
    <w:name w:val="Balloon Text"/>
    <w:basedOn w:val="Normal"/>
    <w:link w:val="BalloonTextChar"/>
    <w:uiPriority w:val="99"/>
    <w:semiHidden/>
    <w:unhideWhenUsed/>
    <w:rsid w:val="00F8307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ition.cnn.com/2018/08/03/health/dna-genealogy-cold-cases-trnd/index.html"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slimnyams</dc:creator>
  <cp:lastModifiedBy>d</cp:lastModifiedBy>
  <cp:revision>2</cp:revision>
  <dcterms:created xsi:type="dcterms:W3CDTF">2018-08-17T10:51:00Z</dcterms:created>
  <dcterms:modified xsi:type="dcterms:W3CDTF">2018-08-17T10:51:00Z</dcterms:modified>
</cp:coreProperties>
</file>